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377 vom 21. April 1982</w:t>
      </w:r>
    </w:p>
    <w:p>
      <w:r>
        <w:t>Bundesgericht (BGE), 1982-04-21, FR</w:t>
      </w:r>
    </w:p>
    <w:p>
      <w:r>
        <w:rPr>
          <w:b/>
        </w:rPr>
        <w:t xml:space="preserve">Quelle: </w:t>
      </w:r>
      <w:r>
        <w:t>https://mcp.opencaselaw.ch/entscheid/bge_108 IB 377</w:t>
      </w:r>
    </w:p>
    <w:p>
      <w:r>
        <w:t>FR: BGE 108 IB 377 du 21 avril 1982</w:t>
      </w:r>
    </w:p>
    <w:p>
      <w:r>
        <w:t>IT: BGE 108 IB 377 del 21 aprile 1982</w:t>
      </w:r>
    </w:p>
    <w:p>
      <w:pPr>
        <w:pStyle w:val="Heading2"/>
      </w:pPr>
      <w:r>
        <w:t>Regeste</w:t>
      </w:r>
    </w:p>
    <w:p>
      <w:r>
        <w:t>Regeste Baubewilligung und Rodungsbewilligung. Grundsatz von Treu und Glauben. 1. Zulässigkeit der Verwaltungsgerichtsbeschwerde; Verfügung i.S. von Art. 5 VwVG; End- oder Zwischenentscheid (E. 1a und b). Unzulässigkeit der Erteilung einer Baubewilligung in einem Verfahren, in dem die Verweigerung einer Rodungsbewilligung angefochten wird (E. 1d). 2. Begriff des Waldes. Qualifizierung der in Frage stehenden Parzelle als Wald (E. 2). 3. Baubewilligung, die stillschweigend an die Bedingung der nachfolgenden Erteilung einer Rodungsbewilligung geknüpft ist. Die Verweigerung der letztgenannten bedeutet keinen Widerruf der Baubewilligung. Wirkungen hinsichtlich der vom Inhaber der Baubewilligung erhobenen Rügen (E. 3a). 4. Voraussetzungen des Vertrauensschutzes im allgemeinen (E. 3b). Bejahung des Vertrauensschutzes im konkreten Fall in Anbetracht der gesamten Umstände (von der Gemeinde vor dem Grundstückkauf abgegebene Zusicherungen; mindestens zweimalige Bestätigung der Zuordnung der Parzelle zur Bauzone durch den Regierungsrat, der auch obere kantonale Aufsichtsbehörde über die Fortspolizei ist; Erteilung einer Rodungsbewilligung an den Eigentümer einer gleichartigen, angrenzenden Parzelle; Verhalten der Forstpolizeibehörden) (E. 3c).</w:t>
      </w:r>
    </w:p>
    <w:p>
      <w:pPr>
        <w:pStyle w:val="Heading2"/>
      </w:pPr>
      <w:r>
        <w:t>Erwägungen</w:t>
      </w:r>
    </w:p>
    <w:p>
      <w:r>
        <w:rPr>
          <w:b/>
        </w:rPr>
        <w:t>E. 1</w:t>
      </w:r>
    </w:p>
    <w:p>
      <w:r>
        <w:t>a) Aux termes des art. 97 et 98 lettre g OJ, le Tribunal fédéral connaît en dernière instance des recours de droit administratif contre des décisions au sens de l' art. 5 PA , prises par des autorités statuant en dernière instance cantonale, dans la mesure où aucune des exceptions prévues aux art. 99 à 102 OJ n'est réalisée. Par décisions au sens de l' art. 5 PA , il faut entendre les mesures prises dans des cas particuliers en application du droit fédéral ou bien celles qui, comme la jurisprudence l'a précisé, auraient dû se fonder sur le droit fédéral. Ce dernier comprend toutes les normes générales et abstraites édictées par une autorité fédérale ou, en vertu d'une délégation du pouvoir législatif, par BGE 108 Ib 377 S. 381 une organisation extérieure à l'administration fédérale. Les dispositions d'exécution du droit fédéral adoptées par les cantons entrent dans cette catégorie dans la mesure où elles n'ont pas une portée propre, c'est-à-dire quand le droit cantonal ne contient rien qui n'ait déjà été édicté par le législateur fédéral ( ATF 105 Ib 107 consid. 1a, ATF 103 Ib 213 ss, ATF 100 Ib 120 , 97 I 296 consid. 1, ATF 96 I 761 consid. 1; GYGI, Verwaltungsrechtspflege und Verwaltungsverfahren im Bund, 2e éd., p. 144; GRISEL, Droit administratif suisse, p. 480). La décision attaquée a été rendue en dernière instance cantonale. Elle se fonde, d'une part, sur la loi fédérale concernant la haute surveillance de la Confédération sur la police des forêts du 11 octobre 1902 (LFor) et son ordonnance d'exécution du 1er octobre 1965 (OFor) et, d'autre part, sur l'art. 12 de la loi forestière vaudoise du 5 juin 1979 et l'art. 6 de son règlement d'application du 16 mai 1980. Il faut constater à cet égard que, bien qu'elle se réfère à ces dernières dispositions, et en particulier à l'art. 12 de la loi forestière vaudoise - qui constitue du droit cantonal réservé, ayant une portée propre ( ATF 107 Ia 338 E. 1) -, la décision entreprise a été rendue, fondamentalement, en application du droit fédéral; elle ne se réfère au droit cantonal que dans la mesure où il concorde avec lui. Elle constitue ainsi, dans son ensemble, une décision au sens de l' art. 5 PA dont le Tribunal fédéral, saisi d'un recours de droit administratif, doit examiner la conformité avec le droit fédéral. b) Le recours de droit administratif est recevable tant contre une décision finale que contre une décision incidente, conjointement ou séparément, à condition - dans ce dernier cas - que la décision incidente entraîne un dommage irréparable et que la décision finale qu'elle précède soit elle-même sujette à recours ( art. 101 lettre a OJ ; ATF 99 Ib 416 , ATF 97 I 478 s.). Est une décision incidente, selon les art. 45 PA et 101 lettre a OJ, une mesure prise en cours de procédure, qui ne met donc pas un terme à celle-ci et ne constitue qu'un pas en direction de la décision finale ( ATF 105 Ib 433 ). En l'espèce, on peut constater que l'interdiction d'entreprendre ou de continuer les travaux de construction signifiée à la recourante par l'autorité administrative inférieure avait apparemment un caractère provisionnel qui ne pouvait préjuger, de manière absolue, du sort qui serait fait à une demande d'autorisation de défricher. En présence d'une telle décision, il eût été loisible à la recourante de requérir une autorisation de défricher BGE 108 Ib 377 S. 382 en bonne et due forme et de se plier à l'interdiction jusqu'à droit connu sur cette requête. Au lieu de cela, elle a recouru au Conseil d'Etat, autorité supérieure cantonale de recours et de surveillance en matière de police des forêts, qui l'a déboutée, non en la renvoyant à requérir une autorisation de défricher, mais en constatant sans équivoque qu'une telle autorisation ne pouvait être délivrée. On doit dès lors considérer la décision attaquée non comme une décision incidente, mais comme une décision finale qui peut, sans autre considération sur son caractère procédural, faire l'objet d'un recours de droit administratif. c) Propriétaire de la parcelle litigieuse, la recourante est incontestablement atteinte par la décision attaquée et a un intérêt digne de protection à ce que celle-ci soit annulée ou modifiée ( art. 103 lettre a OJ ). d) En plus de l'annulation de la décision attaquée, la recourante demande au Tribunal fédéral de reconnaître son droit de construire sur sa parcelle. En l'espèce, une telle conclusion est irrecevable si elle tend à l'octroi du permis définitif de construire; elle n'est recevable que dans la mesure où elle tend à la constatation que plus aucune objection de nature forestière ne s'oppose à son projet. e) Aux termes de l' art. 104 lettre a OJ , le droit fédéral dont la violation peut être invoquée par la voie d'un recours de droit administratif englobe les droits constitutionnels des citoyens. En présence d'une violation de ceux-ci, le recours de droit administratif assume le rôle du recours de droit public ( ATF 105 Ia 107 /108, ATF 105 Ib 403 consid. 4, 223 consid. a, ATF 104 Ib 121 consid. 1 et les arrêts cités). C'est donc en vain que la recourante a intitulé son recours, à titre subsidiaire, "recours de droit public" puisque, son recours de droit administratif étant recevable, elle est légitimée à invoquer par cette voie la violation des droits constitutionnels dont elle se prévaut.</w:t>
      </w:r>
    </w:p>
    <w:p>
      <w:r>
        <w:rPr>
          <w:b/>
        </w:rPr>
        <w:t>E. 2</w:t>
      </w:r>
    </w:p>
    <w:p>
      <w:r>
        <w:t>Le caractère forestier de la parcelle litigieuse ne peut être mis en doute. La question de savoir si un bien-fonds est une forêt doit en effet être résolue exclusivement sur la base des critères énumérés à l' art. 1er OFor . Pour y répondre, il faut prendre en considération, fondamentalement, soit la végétation qui recouvre la parcelle en cause, soit son environnement forestier. L'état antérieur de la végétation ou sa qualité du point de vue de l'économie forestière ne sont pas déterminants. C'est ainsi que des surfaces momentanément dénudées, de même que les BGE 108 Ib 377 S. 383 surfaces improductives à l'intérieur d'un bien-fonds forestier, doivent être assimilées à la forêt (art. 1er al. 1, 2e phrase, OFor). Il en va de même des surfaces non boisées à l'intérieur d'une forêt ( art. 1er al. 2 OFor ). L'affectation de telles surfaces à des fins autres que l'exploitation forestière constitue un défrichement qui doit faire l'objet d'une autorisation de la part des organes forestiers compétents ( art. 25 ss OFor ). L'enlèvement du couvert forestier d'un terrain, sans qu'une autorisation de défricher ait été délivrée par l'autorité compétente, ne modifie pas son caractère forestier. D'autre part, la désignation ou la description d'un secteur territorial déterminé sur des plans, dans le cadastre, dans le registre foncier ou dans des documents analogues n'est pas décisive. Il en va de même de l'équipement d'une parcelle en vue d'une construction ou de son intégration dans une zone à bâtir ( ATF 106 Ib 144 consid. 4, ATF 104 Ib 235 consid. 2, ATF 101 Ib 315 , ATF 98 Ib 365 ss consid. 1). Les travaux de débroussaillage, de coupe et de terrassement partiel effectués par la recourante n'ont pas permis à la délégation du Tribunal fédéral de constater, lors de l'inspection des lieux, quelle était la couverture forestière de sa parcelle au moment où elle en est devenue propriétaire. Les documents photographiques déposés par la suite et les déclarations concordantes des parties établissent toutefois que sa végétation ne comportait qu'un arbre de haute futaie et des buissons, alors même qu'elle est pratiquement entourée de tous côtés par de la forêt dense. Cette situation particulière serait la conséquence d'une coupe réalisée vers 1965, selon les affirmations de l'ancien garde forestier local. Les recherches effectuées tant par la recourante que par la Municipalité de Saint-Cergue et les autorités forestières cantonales n'ont pas permis de déterminer si une autorisation de défrichement avait été accordée à cette époque. En l'absence d'une telle précision, il convient de constater que le terrain litigieux peut être tout au plus assimilé à une clairière ou à une surface non boisée à l'intérieur d'une forêt, pour reprendre les termes de l' art. 1er OFor . Qu'elle fasse partie du territoire à bâtir communal, qu'elle soit équipée pour la construction et que l'édification d'une villa sur une parcelle contiguë ait été autorisée ne sauraient donc, contrairement à l'avis de la recourante, la soustraire au régime restrictif institué par les art. 31 ss LFor et 24 ss OFor. C'est le lieu de relever que la discussion que voudrait ouvrir la recourante sur l'inconstitutionnalité du droit cantonal, au regard de l'art. 2 disp. trans. Cst., dans la mesure où l'art. 12 de la loi forestière vaudoise BGE 108 Ib 377 S. 384 irait plus loin que ces restrictions instituées par le législateur fédéral, est vaine. En effet, comme il a déjà été dit, c'est principalement sur le droit fédéral que s'est fondée l'autorité intimée pour rendre sa décision d'interdiction de poursuivre les travaux.</w:t>
      </w:r>
    </w:p>
    <w:p>
      <w:r>
        <w:rPr>
          <w:b/>
        </w:rPr>
        <w:t>E. 3</w:t>
      </w:r>
    </w:p>
    <w:p>
      <w:r>
        <w:t>La recourante se prévaut essentiellement d'une violation du principe de la bonne foi dont la protection devrait lui être accordée, en raison des assurances qui lui ont été données par les autorités administratives et de leur comportement envers elle. a) C'est à tort qu'elle se réfère à la jurisprudence relative à la révocation des actes administratifs qui fait une large part à la sécurité du droit, ce postulat devant en général l'emporter sur l'application correcte du droit objectif lorsqu'une décision administrative a fondé un droit subjectif ou lorsqu'elle a été prise au terme d'une procédure qui a permis d'examiner sous tous les aspects les intérêts qui s'opposent et de les mettre en balance, ou lorsque le particulier a déjà fait usage d'une autorisation de police qui lui a été délivrée ( ATF 107 Ib 36 ss, ATF 103 Ib 206 /7 consid. 3 et arrêts cités). La révocation d'un acte administratif est en effet un acte administratif qui en abroge ou en modifie un autre et qui émane soit de l'auteur de l'acte à révoquer, soit du supérieur hiérarchique ou d'un organe de surveillance en dehors d'une instance de recours. En l'espèce, l'intervention des autorités forestières s'apparente davantage à un acte administratif qui, sans le révoquer formellement, supprime les effets d'un autre acte (GRISEL, op.cit., p. 208 ss). Le permis de bâtir délivré à la recourante ne la dispensait pas de requérir une autorisation de défricher; il ne préjugeait pas davantage, en soi, de l'accueil que feraient à une telle demande les autorités forestières compétentes. Il revêtait, éminemment, le caractère d'un acte administratif conditionnel, c'est-à-dire muni d'une condition suspensive implicite. La décision attaquée, rendue plusieurs mois après l'octroi du permis de bâtir, équivaut à un refus de cette condition indispensable à la perfection du permis. On peut certes regretter le manque de coordination des services administratifs cantonaux, qui a conduit à l'octroi d'une autorisation par un organe administratif déterminé et, ultérieurement, au refus par un autre organe d'une seconde autorisation qui équivaut à vider la première de sa substance. Il n'en demeure pas moins que l'on se trouve en présence d'un acte administratif parallèle d'une nature procédurale bien distincte et non d'un acte administratif révoquant une autorisation de police délivrée antérieurement. BGE 108 Ib 377 S. 385 C'est ainsi non sous l'angle de la sécurité du droit, qui fait, sous certaines conditions, obstacle à la révocation d'un acte administratif, mais sous l'angle exclusif de la bonne foi, qu'il y a lieu d'examiner si la délivrance du permis de bâtir était une circonstance, parmi celles bien particulières de l'espèce, propre à faire naître une prétention de la recourante à l'octroi d'une autorisation de défricher. b) Le principe de la bonne foi, énoncé par le législateur de droit privé à l' art. 2 al. 1 CC , s'applique également en droit public et, spécialement, en droit administratif. Découlant directement de l' art. 4 Cst. et valant pour l'ensemble de l'activité étatique, ce principe donne au citoyen le droit d'être protégé dans la confiance légitime qu'il met dans les assurances reçues des autorités. Il le protège donc, lorsqu'il a réglé sa conduite d'après des décisions, des déclarations ou un comportement déterminé de l'administration. La jurisprudence soumet cependant à certaines conditions le recours à cette protection. Il faut notamment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Ce n'est que lorsque l'incompétence de l'autorité est manifeste, c'est-à-dire lorsqu'elle est clairement reconnaissable, que la protection de la bonne foi peut être exclue. Il faut en outre que l'administré se soit fondé sur les assurances et le comportement dont il se prévaut pour prendre des dispositions qu'il ne saurait modifier sans subir un préjudice ( ATF 104 Ib 237 consid. 4, ATF 103 Ia 114 , 508, ATF 99 Ib 101 consid. 4, ATF 98 Ia 462 consid. 2; GRISEL, op.cit., p. 187). Pour analyser si cette dernière condition est réalisée, il y a naturellement lieu de prendre en considération les investissements réalisés par la recourante. L'argument de l'autorité intimée et du Département fédéral de l'intérieur, tiré de la jurisprudence selon laquelle l'intérêt financier de celui qui requiert une autorisation de défricher doit céder le pas à l'intérêt public au maintien de la forêt, est correct, mais il n'est pas à sa place dans le cadre d'un examen des conditions posées à un administré pour qu'il puisse se référer au principe de la bonne foi. La question de savoir si, dans un cas déterminé, le principe de la bonne foi a été violé est une question de droit que, en vertu de l' art. 104 lettre a OJ en relation avec l' art. 114 al. 1 OJ , le Tribunal fédéral, saisi d'un recours de droit administratif, examine librement BGE 108 Ib 377 S. 386 (cf. ATF 97 I 583 consid. 3). Au reste, il jouit en principe d'un pouvoir d'examen également illimité lorsqu'il examine cette question dans le cadre d'un recours de droit public ( ATF 103 Ia 508 ). c) On ne saurait nier qu'en l'espèce la recourante se soit entourée de précautions sérieuses avant de conclure l'acte de vente du 21 juin 1979, par lequel elle a acquis la parcelle litigieuse en qualité de terrain à bâtir et à un prix correspondant à cette affectation. Elle a reçu des assurances écrites précises de l'autorité municipale, selon lesquelles le terrain était immédiatement constructible, sous la seule réserve du raccordement au collecteur public des eaux usées. Sitôt l'acte de vente conclu, elle a fait procéder au débroussaillage de la parcelle et à l'abattage du seul arbre qui s'y trouvait. Elle s'est adressée pour cela au garde forestier de triage, qui a personnellement exécuté ce travail. C'est à la suite de ce nettoyage, clairement requis dans la perspective de la construction projetée, qu'elle a effectué les travaux de canalisation nécessaires au raccordement de la parcelle, dont le coût s'est élevé à environ 8'000 fr. Sur ce point précis, l'autorité intimée soutient que les gardes forestiers seraient des fonctionnaires communaux dont les actes ne sauraient engager sans autre les services cantonaux compétents pour délivrer une autorisation de défricher. Il sied de souligner à cet égard que, lors de l'inspection des lieux, les représentants de la commune et du canton n'ont pas été en mesure de faire une lumière absolue sur le statut de ces fonctionnaires, ce qui se comprend à la teneur des art. 22 ss de la loi forestière vaudoise qui, les qualifiant de gardes forestiers de triage communaux, les range cependant parmi les organes du service forestier cantonal (art. 22). On ne saurait de toute façon exiger des citoyens qu'ils soient fixés par eux-mêmes sur le rôle précis assigné aux différents agents de l'administration (cf. RDAF 1971, p. 343). En l'occurrence, il serait excessivement rigoureux d'exiger de la recourante qu'elle eût dû reconnaître que le garde forestier de triage n'agissait pas dans le cadre de ses attributions ou qu'avant d'effectuer le travail qui lui était demandé il n'avait pas obtenu l'agrément de ses supérieurs, eux-mêmes compétents pour délivrer une autorisation de défrichement. A cela s'ajoute la volonté du Conseil d'Etat, affirmée à deux reprises consécutives au moins, d'accepter que la parcelle de la recourante soit vouée à la construction. Certes, en conformité du principe de la force dérogatoire du droit fédéral consacré à l'art. 2 disp. trans. Cst., l'insertion d'une parcelle forestière en zone de constructions BGE 108 Ib 377 S. 387 n'en fait pas un terrain à bâtir, les constructions étant en principe interdites en forêt selon l' art. 28 OFor ( ATF 101 Ib 313 ). Il n'en demeure pas moins que, selon les circonstances, un tel classement peut être de nature à convaincre un propriétaire de son droit de bâtir, de telle sorte qu'il doive être mis au bénéfice de sa bonne foi. Il faut constater en l'espèce que le Conseil d'Etat du canton de Vaud a approuvé, par décision du 28 août 1967, le plan de zones de la commune de Saint-Cergue qui intègre dans le territoire à bâtir certains secteurs de forêt. Il est vrai que ce plan a été approuvé avant l'entrée en vigueur, le 1er septembre 1971, de la modification de l'OFor du 25 août 1971, qui a sensiblement renforcé la protection de l'aire forestière. Le Conseil d'Etat a toutefois tenu compte de cette nouvelle réglementation plus restrictive lorsqu'il a approuvé la modification du plan de zones communal le 15 mars 1974. La comparaison des plans figurant au dossier ne laisse aucun doute quant à l'attention que l'autorité cantonale supérieure a vouée à ce problème. Or, dans cette nouvelle teneur, le plan en question maintient la parcelle de la recourante dans la zone de villas et chalets, élément sur lequel sont d'ailleurs fondées les assurances données par la commune à dame Posewitz avant que celle-ci ne fasse l'acquisition de son immeuble. On peut s'étonner à cet égard que l'autorité cantonale n'ait pas jugé bon d'assortir sa décision d'approbation d'une réserve expresse en faveur du droit forestier. Il sied de relever ici que le Conseil d'Etat n'est pas seulement l'autorité de surveillance en matière d'aménagement du territoire, mais qu'il est aussi l'autorité supérieure de surveillance et de recours en matière de police des forêts selon la loi forestière vaudoise du 5 juin 1979, dont il a élaboré le 16 mai 1980 le règlement d'application. C'est de plus lui qui eût été compétent en dernière instance pour délivrer l'autorisation de défricher la parcelle litigieuse dont la surface est inférieure à 30 ares ( art. 25bis al. 1 lettre a OFor ). Il faut reconnaître aussi que la recourante pouvait, en toute confiance, considérer que le défrichement de la parcelle vendue ne poserait aucun problème, compte tenu de l'attitude conséquente dont avait toujours fait preuve jusque-là l'autorité cantonale lorsqu'elle était saisie de demandes d'autorisation de défricher des parcelles dont elle avait admis le classement en zone à bâtir. Il n'est pas nécessaire, à ce point de vue, d'insister sur l'autorisation de défrichement délivrée pour une parcelle immédiatement voisine de BGE 108 Ib 377 S. 388 celle de la recourante, sur laquelle a été construite une villa. Il suffit de se référer aux exemples significatifs qui ont été présentés à la délégation du Tribunal fédéral lors de l'inspection des lieux. Le quartier de "Guinfard" est un pâturage boisé dans lequel des défrichements ont été régulièrement autorisés ces derniers temps pour l'édification de résidences secondaires. Quant au quartier des "Peleisses", il s'agit d'un territoire de forêt dense classé, comme la parcelle de la recourante, en zone de villas et chalets. Des constructions récentes, nécessitant un défrichement, y ont été réalisées et des travaux de terrassement y étaient encore en cours lors de l'inspection des lieux. Si la souplesse dont l'autorité forestière cantonale a fait preuve, dans les cas exposés, a donné lieu à des critiques de la part de certains participants à l'inspection des lieux, elle n'en est pas moins la conséquence logique du classement, en soi injustifié, de parcelles boisées en zone à bâtir. d) Toutes ces circonstances réunies démontrent à l'évidence que la recourante était de parfaite bonne foi et qu'elle mérite par conséquent d'être protégée conformément à la jurisprudence ci-dessus évoquée. Il faut rappeler en effet que les assurances données à dame Posewitz par la commune avant la conclusion de l'acte de vente étaient fondées sur le classement en question, admis par l'autorité cantonale supérieure en matière de forêt et qu'elles pouvaient ainsi légitimement la conduire à acquérir la parcelle litigieuse au prix d'un terrain à bâtir. Il y a lieu en outre d'admettre que le comportement du garde forestier de triage, joint à ces assurances expresses, au silence total des autorités forestières pendant la mise à l'enquête publique et durant les trois mois qui ont suivi la délivrance du permis de bâtir et enfin à la présence d'une construction sur une des parcelles contiguës de nature identique, dont le permis de construire avait été octroyé après l'introduction de dispositions plus restrictives dans l'OFor, était de nature à convaincre la recourante - même assistée de son architecte - que l'enlèvement des broussailles et de l'arbre unique croissant sur son terrain allait de soi. On ne peut en tout cas pas lui reprocher d'avoir agi avec témérité en accomplissant des actes qui, si son projet de construction était interdit, seraient sans aucun doute lourdement préjudiciables à ses intérêts. Le recours doit ainsi être admis en application du principe de la bonne foi, sans qu'il y ait lieu de se pencher sur les griefs de la recourante tirés d'une violation des principes de la proportionnalité et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